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3"/>
        <w:gridCol w:w="2239"/>
      </w:tblGrid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pBdr>
                <w:bottom w:val="dotted" w:sz="6" w:space="2" w:color="666666"/>
              </w:pBdr>
              <w:spacing w:before="75" w:beforeAutospacing="0" w:after="45" w:afterAutospacing="0" w:line="312" w:lineRule="auto"/>
              <w:outlineLvl w:val="2"/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</w:pPr>
            <w:r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CONSULTANT</w:t>
            </w:r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 xml:space="preserve"> NATIONAL POUR APPUYER L’ÉQUIPE DU </w:t>
            </w:r>
            <w:r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 xml:space="preserve">PROJET "ROUTES DES KSOUR " DANS LA PRODUCTION D’UN EDUCTOUR ET D’UN GUIDE TOURISTIQUE 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Location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Algiers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, ALGERIA 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Application Deadline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02-</w:t>
            </w: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Feb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-13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Type of </w:t>
            </w: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Contract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Individual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Contract</w:t>
            </w:r>
            <w:proofErr w:type="spellEnd"/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Post </w:t>
            </w: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Level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National Consultant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Languages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</w:t>
            </w: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Required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French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Arabic</w:t>
            </w:r>
            <w:proofErr w:type="spellEnd"/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val="en-US" w:eastAsia="fr-FR"/>
              </w:rPr>
              <w:t>Starting Date :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fr-FR"/>
              </w:rPr>
              <w:br/>
              <w:t>(date when the selected candidate is expected to start)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24-</w:t>
            </w: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Feb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-2013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Duration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of Initial </w:t>
            </w:r>
            <w:proofErr w:type="spellStart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Contract</w:t>
            </w:r>
            <w:proofErr w:type="spellEnd"/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40 jours maximum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360" w:afterAutospacing="0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fr-FR"/>
              </w:rPr>
            </w:pPr>
            <w:hyperlink r:id="rId5" w:history="1">
              <w:r w:rsidRPr="008548BA">
                <w:rPr>
                  <w:rFonts w:ascii="Times New Roman" w:eastAsia="Times New Roman" w:hAnsi="Times New Roman" w:cs="Times New Roman"/>
                  <w:caps/>
                  <w:color w:val="336699"/>
                  <w:spacing w:val="30"/>
                  <w:sz w:val="14"/>
                  <w:lang w:val="en-US" w:eastAsia="fr-FR"/>
                </w:rPr>
                <w:t>Refer a Friend</w:t>
              </w:r>
            </w:hyperlink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val="en-US" w:eastAsia="fr-FR"/>
              </w:rPr>
              <w:t xml:space="preserve"> </w:t>
            </w:r>
            <w:hyperlink r:id="rId6" w:history="1">
              <w:r w:rsidRPr="008548BA">
                <w:rPr>
                  <w:rFonts w:ascii="Times New Roman" w:eastAsia="Times New Roman" w:hAnsi="Times New Roman" w:cs="Times New Roman"/>
                  <w:caps/>
                  <w:color w:val="336699"/>
                  <w:spacing w:val="30"/>
                  <w:sz w:val="14"/>
                  <w:lang w:val="en-US" w:eastAsia="fr-FR"/>
                </w:rPr>
                <w:t>Apply Now</w:t>
              </w:r>
            </w:hyperlink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pBdr>
                <w:bottom w:val="dotted" w:sz="6" w:space="2" w:color="666666"/>
              </w:pBdr>
              <w:spacing w:before="75" w:beforeAutospacing="0" w:after="45" w:afterAutospacing="0" w:line="312" w:lineRule="auto"/>
              <w:outlineLvl w:val="2"/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</w:pPr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Background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Default="008548BA" w:rsidP="008548BA">
            <w:pPr>
              <w:pStyle w:val="Default"/>
              <w:jc w:val="both"/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  <w:t xml:space="preserve">Le projet« Les routes des ksour : Appui au  développement local » reprend les anciennes routes des caravanes commerciales du Sahara, propose la promotion d’un tourisme culturel durable, dans les régions du sud algérien, en tant qu’alternative économique pour la région, à même de lutter efficacement contre la situation de précarité des populations locales et de sauvegarder le patrimoine culturel et naturel local. </w:t>
            </w:r>
          </w:p>
          <w:p w:rsidR="008548BA" w:rsidRPr="008548BA" w:rsidRDefault="008548BA" w:rsidP="008548BA">
            <w:pPr>
              <w:pStyle w:val="Default"/>
              <w:jc w:val="both"/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  <w:t>Pour ce qui des objectifs du projet il est attendu de :</w:t>
            </w:r>
          </w:p>
          <w:p w:rsidR="008548BA" w:rsidRPr="008548BA" w:rsidRDefault="008548BA" w:rsidP="008548BA">
            <w:pPr>
              <w:pStyle w:val="Default"/>
              <w:jc w:val="both"/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</w:pPr>
          </w:p>
          <w:p w:rsidR="008548BA" w:rsidRPr="008548BA" w:rsidRDefault="008548BA" w:rsidP="008548BA">
            <w:pPr>
              <w:pStyle w:val="Default"/>
              <w:numPr>
                <w:ilvl w:val="0"/>
                <w:numId w:val="12"/>
              </w:numPr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 xml:space="preserve">Renforcer les capacités des acteurs locaux et l’économie des régions du sud; </w:t>
            </w:r>
          </w:p>
          <w:p w:rsidR="008548BA" w:rsidRPr="008548BA" w:rsidRDefault="008548BA" w:rsidP="008548BA">
            <w:pPr>
              <w:pStyle w:val="Default"/>
              <w:numPr>
                <w:ilvl w:val="0"/>
                <w:numId w:val="12"/>
              </w:numPr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>Créer des emplois productifs durables pour les communautés locales ;</w:t>
            </w:r>
          </w:p>
          <w:p w:rsidR="008548BA" w:rsidRPr="008548BA" w:rsidRDefault="008548BA" w:rsidP="008548BA">
            <w:pPr>
              <w:pStyle w:val="Default"/>
              <w:numPr>
                <w:ilvl w:val="0"/>
                <w:numId w:val="12"/>
              </w:numPr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 xml:space="preserve">Sauvegarder, réhabiliter et revitaliser le patrimoine culturel matériel et immatériel et </w:t>
            </w:r>
          </w:p>
          <w:p w:rsidR="008548BA" w:rsidRPr="008548BA" w:rsidRDefault="008548BA" w:rsidP="008548BA">
            <w:pPr>
              <w:pStyle w:val="Default"/>
              <w:ind w:left="708" w:firstLine="708"/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 xml:space="preserve">améliorer les conditions de sauvegarde du patrimoine naturel oasien; </w:t>
            </w:r>
          </w:p>
          <w:p w:rsidR="008548BA" w:rsidRPr="008548BA" w:rsidRDefault="008548BA" w:rsidP="008548B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8548BA">
              <w:rPr>
                <w:rFonts w:ascii="Verdana" w:hAnsi="Verdana" w:cs="Times New Roman"/>
                <w:sz w:val="17"/>
                <w:szCs w:val="17"/>
              </w:rPr>
              <w:t>Développer des coopérations avec les partenaires au développement, actifs en Algérie, au niveau régional, national et international.</w:t>
            </w:r>
          </w:p>
          <w:p w:rsidR="008548BA" w:rsidRPr="00B77922" w:rsidRDefault="008548BA" w:rsidP="008548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8548BA" w:rsidRPr="008548BA" w:rsidRDefault="008548BA" w:rsidP="008548BA">
            <w:pPr>
              <w:pStyle w:val="Default"/>
              <w:jc w:val="both"/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eastAsia="Times New Roman" w:cs="Times New Roman"/>
                <w:color w:val="333333"/>
                <w:sz w:val="17"/>
                <w:szCs w:val="17"/>
                <w:lang w:eastAsia="fr-FR"/>
              </w:rPr>
              <w:t xml:space="preserve">Le projet met en œuvre, tout au long des différentes étapes d’implantation des actions : </w:t>
            </w:r>
          </w:p>
          <w:p w:rsidR="008548BA" w:rsidRPr="00B77922" w:rsidRDefault="008548BA" w:rsidP="008548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8548BA" w:rsidRPr="008548BA" w:rsidRDefault="008548BA" w:rsidP="008548BA">
            <w:pPr>
              <w:pStyle w:val="Default"/>
              <w:numPr>
                <w:ilvl w:val="0"/>
                <w:numId w:val="13"/>
              </w:numPr>
              <w:spacing w:after="91"/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>de renforcement des conditions d’activité touristique ;</w:t>
            </w:r>
          </w:p>
          <w:p w:rsidR="008548BA" w:rsidRPr="008548BA" w:rsidRDefault="008548BA" w:rsidP="008548BA">
            <w:pPr>
              <w:pStyle w:val="Default"/>
              <w:numPr>
                <w:ilvl w:val="0"/>
                <w:numId w:val="13"/>
              </w:numPr>
              <w:spacing w:after="91"/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 xml:space="preserve">de réhabilitation de constructions </w:t>
            </w:r>
            <w:proofErr w:type="spellStart"/>
            <w:r w:rsidRPr="008548BA">
              <w:rPr>
                <w:rFonts w:cs="Times New Roman"/>
                <w:sz w:val="17"/>
                <w:szCs w:val="17"/>
              </w:rPr>
              <w:t>ksouriennes</w:t>
            </w:r>
            <w:proofErr w:type="spellEnd"/>
            <w:r w:rsidRPr="008548BA">
              <w:rPr>
                <w:rFonts w:cs="Times New Roman"/>
                <w:sz w:val="17"/>
                <w:szCs w:val="17"/>
              </w:rPr>
              <w:t xml:space="preserve"> et leur aménagement en hébergement touristique ;</w:t>
            </w:r>
          </w:p>
          <w:p w:rsidR="008548BA" w:rsidRPr="008548BA" w:rsidRDefault="008548BA" w:rsidP="008548BA">
            <w:pPr>
              <w:pStyle w:val="Default"/>
              <w:numPr>
                <w:ilvl w:val="0"/>
                <w:numId w:val="13"/>
              </w:numPr>
              <w:jc w:val="both"/>
              <w:rPr>
                <w:rFonts w:cs="Times New Roman"/>
                <w:sz w:val="17"/>
                <w:szCs w:val="17"/>
              </w:rPr>
            </w:pPr>
            <w:r w:rsidRPr="008548BA">
              <w:rPr>
                <w:rFonts w:cs="Times New Roman"/>
                <w:sz w:val="17"/>
                <w:szCs w:val="17"/>
              </w:rPr>
              <w:t>de préservation de l’environnement ainsi que la sauvegarde du patrimoine matériel et immatériel en constituent les actions essentielles.</w:t>
            </w:r>
          </w:p>
          <w:p w:rsidR="008548BA" w:rsidRPr="008548BA" w:rsidRDefault="008548BA" w:rsidP="008548BA">
            <w:pPr>
              <w:spacing w:after="0"/>
              <w:jc w:val="both"/>
              <w:rPr>
                <w:rFonts w:ascii="Verdana" w:hAnsi="Verdana" w:cs="Times New Roman"/>
                <w:sz w:val="17"/>
                <w:szCs w:val="17"/>
                <w:lang w:val="fr-LU"/>
              </w:rPr>
            </w:pPr>
            <w:r w:rsidRPr="008548BA">
              <w:rPr>
                <w:rFonts w:ascii="Verdana" w:hAnsi="Verdana" w:cs="Times New Roman"/>
                <w:sz w:val="17"/>
                <w:szCs w:val="17"/>
                <w:lang w:val="fr-LU"/>
              </w:rPr>
              <w:t xml:space="preserve">Il est prévu, au titre de ce projet qui s’étend sur </w:t>
            </w:r>
            <w:proofErr w:type="gramStart"/>
            <w:r w:rsidRPr="008548BA">
              <w:rPr>
                <w:rFonts w:ascii="Verdana" w:hAnsi="Verdana" w:cs="Times New Roman"/>
                <w:sz w:val="17"/>
                <w:szCs w:val="17"/>
                <w:lang w:val="fr-LU"/>
              </w:rPr>
              <w:t>quatre wilaya que sont Bechar, Adrar, Ghardaïa et Ouargla, pour ce qui est de l’objectif  de cette  consultation,</w:t>
            </w:r>
            <w:r>
              <w:rPr>
                <w:rFonts w:ascii="Verdana" w:hAnsi="Verdana" w:cs="Times New Roman"/>
                <w:sz w:val="17"/>
                <w:szCs w:val="17"/>
                <w:lang w:val="fr-LU"/>
              </w:rPr>
              <w:t xml:space="preserve"> </w:t>
            </w:r>
            <w:r w:rsidRPr="008548BA">
              <w:rPr>
                <w:rFonts w:ascii="Verdana" w:hAnsi="Verdana" w:cs="Times New Roman"/>
                <w:sz w:val="17"/>
                <w:szCs w:val="17"/>
                <w:lang w:val="fr-LU"/>
              </w:rPr>
              <w:t xml:space="preserve">de répondre </w:t>
            </w:r>
            <w:proofErr w:type="gramEnd"/>
            <w:r w:rsidRPr="008548BA">
              <w:rPr>
                <w:rFonts w:ascii="Verdana" w:hAnsi="Verdana" w:cs="Times New Roman"/>
                <w:sz w:val="17"/>
                <w:szCs w:val="17"/>
                <w:lang w:val="fr-LU"/>
              </w:rPr>
              <w:t xml:space="preserve"> aux objectifs 1 et 4 que sont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01"/>
            </w:tblGrid>
            <w:tr w:rsidR="008548BA" w:rsidRPr="008548BA" w:rsidTr="00FB58EB">
              <w:trPr>
                <w:trHeight w:val="218"/>
              </w:trPr>
              <w:tc>
                <w:tcPr>
                  <w:tcW w:w="7401" w:type="dxa"/>
                </w:tcPr>
                <w:p w:rsidR="008548BA" w:rsidRPr="008548BA" w:rsidRDefault="008548BA" w:rsidP="008548BA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8548BA">
                    <w:rPr>
                      <w:rFonts w:ascii="Verdana" w:hAnsi="Verdana" w:cs="Times New Roman"/>
                      <w:sz w:val="17"/>
                      <w:szCs w:val="17"/>
                    </w:rPr>
                    <w:t xml:space="preserve">"Renforcer les capacités des acteurs locaux et de l'économie des régions" </w:t>
                  </w:r>
                </w:p>
                <w:p w:rsidR="008548BA" w:rsidRPr="008548BA" w:rsidRDefault="008548BA" w:rsidP="008548BA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8548BA">
                    <w:rPr>
                      <w:rFonts w:ascii="Verdana" w:hAnsi="Verdana" w:cs="Times New Roman"/>
                      <w:sz w:val="17"/>
                      <w:szCs w:val="17"/>
                    </w:rPr>
                    <w:t xml:space="preserve">"Renforcer la coopération internationale, sous régionale et nationale" </w:t>
                  </w:r>
                </w:p>
              </w:tc>
            </w:tr>
          </w:tbl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pBdr>
                <w:bottom w:val="dotted" w:sz="6" w:space="2" w:color="666666"/>
              </w:pBdr>
              <w:spacing w:before="75" w:beforeAutospacing="0" w:after="45" w:afterAutospacing="0" w:line="312" w:lineRule="auto"/>
              <w:outlineLvl w:val="2"/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</w:pP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Duties</w:t>
            </w:r>
            <w:proofErr w:type="spellEnd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 xml:space="preserve"> and </w:t>
            </w: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Responsibilities</w:t>
            </w:r>
            <w:proofErr w:type="spellEnd"/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595D36" w:rsidRPr="00595D36" w:rsidRDefault="008548BA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8548BA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 </w:t>
            </w:r>
            <w:r w:rsidR="00595D36"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Les attentes sont les suivantes :</w:t>
            </w: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Attendu spécifique n°1. </w:t>
            </w: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numPr>
                <w:ilvl w:val="0"/>
                <w:numId w:val="15"/>
              </w:numPr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Réalisation d'un </w:t>
            </w:r>
            <w:proofErr w:type="spellStart"/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Eductour</w:t>
            </w:r>
            <w:proofErr w:type="spellEnd"/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 pour les Tour-operators autour du circuit touristique "les routes des ksour". </w:t>
            </w: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Attendu spécifique n°2. </w:t>
            </w: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numPr>
                <w:ilvl w:val="0"/>
                <w:numId w:val="15"/>
              </w:numPr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bookmarkStart w:id="0" w:name="OLE_LINK1"/>
            <w:bookmarkStart w:id="1" w:name="OLE_LINK2"/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Réalisation d'un guide touristique autour du projet "les routes des ksour"</w:t>
            </w:r>
            <w:bookmarkEnd w:id="0"/>
            <w:bookmarkEnd w:id="1"/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. </w:t>
            </w:r>
            <w:r w:rsidRPr="00595D36">
              <w:rPr>
                <w:rFonts w:cs="Times New Roman"/>
                <w:sz w:val="17"/>
                <w:szCs w:val="17"/>
                <w:lang w:val="fr-LU"/>
              </w:rPr>
              <w:t>Ainsi, pour réaliser cet objectif, il se doit d’être procédé  à :</w:t>
            </w:r>
          </w:p>
          <w:p w:rsidR="00595D36" w:rsidRPr="00595D36" w:rsidRDefault="00595D36" w:rsidP="00595D36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Verdana" w:hAnsi="Verdana" w:cs="Times New Roman"/>
                <w:b/>
                <w:bCs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b/>
                <w:bCs/>
                <w:sz w:val="17"/>
                <w:szCs w:val="17"/>
              </w:rPr>
              <w:lastRenderedPageBreak/>
              <w:t xml:space="preserve"> La production d’un </w:t>
            </w:r>
            <w:proofErr w:type="spellStart"/>
            <w:r w:rsidRPr="00595D36">
              <w:rPr>
                <w:rFonts w:ascii="Verdana" w:hAnsi="Verdana" w:cs="Times New Roman"/>
                <w:b/>
                <w:bCs/>
                <w:sz w:val="17"/>
                <w:szCs w:val="17"/>
              </w:rPr>
              <w:t>eductour</w:t>
            </w:r>
            <w:proofErr w:type="spellEnd"/>
          </w:p>
          <w:p w:rsidR="00595D36" w:rsidRPr="00595D36" w:rsidRDefault="00595D36" w:rsidP="00595D36">
            <w:pPr>
              <w:pStyle w:val="ListParagraph"/>
              <w:spacing w:after="0"/>
              <w:jc w:val="both"/>
              <w:rPr>
                <w:rFonts w:ascii="Verdana" w:hAnsi="Verdana" w:cs="Times New Roman"/>
                <w:sz w:val="17"/>
                <w:szCs w:val="17"/>
              </w:rPr>
            </w:pPr>
          </w:p>
          <w:p w:rsidR="00595D36" w:rsidRPr="00595D36" w:rsidRDefault="00595D36" w:rsidP="00595D36">
            <w:pPr>
              <w:pStyle w:val="Default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Il s'agit d'un voyage organisé en direction des professionnels du tourisme, agents de voyages ou tour-operators à venir découvrir sur quelques jours, gratuitement ou à peu de frais, les circuits ou produits afin de mieux les proposer ensuite aux clients. </w:t>
            </w:r>
          </w:p>
          <w:p w:rsidR="00595D36" w:rsidRPr="00595D36" w:rsidRDefault="00595D36" w:rsidP="00595D36">
            <w:pPr>
              <w:spacing w:after="0"/>
              <w:jc w:val="both"/>
              <w:rPr>
                <w:rFonts w:ascii="Verdana" w:hAnsi="Verdana" w:cs="Times New Roman"/>
                <w:sz w:val="17"/>
                <w:szCs w:val="17"/>
                <w:lang w:val="fr-LU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  <w:lang w:val="fr-LU"/>
              </w:rPr>
              <w:t>L’</w:t>
            </w:r>
            <w:proofErr w:type="spellStart"/>
            <w:r w:rsidRPr="00595D36">
              <w:rPr>
                <w:rFonts w:ascii="Verdana" w:hAnsi="Verdana" w:cs="Times New Roman"/>
                <w:sz w:val="17"/>
                <w:szCs w:val="17"/>
                <w:lang w:val="fr-LU"/>
              </w:rPr>
              <w:t>Eductour</w:t>
            </w:r>
            <w:proofErr w:type="spellEnd"/>
            <w:r w:rsidRPr="00595D36">
              <w:rPr>
                <w:rFonts w:ascii="Verdana" w:hAnsi="Verdana" w:cs="Times New Roman"/>
                <w:sz w:val="17"/>
                <w:szCs w:val="17"/>
                <w:lang w:val="fr-LU"/>
              </w:rPr>
              <w:t xml:space="preserve"> doit allier la découverte de sites et de prestataires d’activités et la rencontre de professionnels, permettant ainsi aux participants de connaître les attraits identitaires de la destination. </w:t>
            </w:r>
          </w:p>
          <w:p w:rsidR="00595D36" w:rsidRPr="00595D36" w:rsidRDefault="00595D36" w:rsidP="00595D36">
            <w:pPr>
              <w:pStyle w:val="Default"/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br w:type="textWrapping" w:clear="all"/>
              <w:t>2-</w:t>
            </w:r>
            <w:r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 </w:t>
            </w:r>
            <w:r w:rsidRPr="00595D36"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>Réalisation d'un guide touristique autour du projet "les routes des ksour"</w:t>
            </w:r>
          </w:p>
          <w:p w:rsidR="00595D36" w:rsidRPr="00595D36" w:rsidRDefault="00595D36" w:rsidP="00595D36">
            <w:pPr>
              <w:pStyle w:val="Default"/>
              <w:ind w:left="72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ind w:left="36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L’objectif  de la production d’un guide étant de :</w:t>
            </w:r>
          </w:p>
          <w:p w:rsidR="00595D36" w:rsidRPr="00595D36" w:rsidRDefault="00595D36" w:rsidP="00595D36">
            <w:pPr>
              <w:pStyle w:val="Default"/>
              <w:ind w:left="36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numPr>
                <w:ilvl w:val="0"/>
                <w:numId w:val="17"/>
              </w:numPr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 Connaître l'ensemble des destinations de la région et pouvoir ainsi renseigner </w:t>
            </w:r>
          </w:p>
          <w:p w:rsidR="00595D36" w:rsidRPr="00595D36" w:rsidRDefault="00595D36" w:rsidP="00595D36">
            <w:pPr>
              <w:pStyle w:val="Default"/>
              <w:ind w:left="72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précisément les touristes désirant les visiter </w:t>
            </w:r>
          </w:p>
          <w:p w:rsidR="00595D36" w:rsidRPr="00595D36" w:rsidRDefault="00595D36" w:rsidP="00595D36">
            <w:pPr>
              <w:pStyle w:val="Default"/>
              <w:numPr>
                <w:ilvl w:val="0"/>
                <w:numId w:val="17"/>
              </w:numPr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Découvrir les identités d'une destination à travers ses sites touristiques et ses   </w:t>
            </w:r>
          </w:p>
          <w:p w:rsidR="00595D36" w:rsidRPr="00595D36" w:rsidRDefault="00595D36" w:rsidP="00595D36">
            <w:pPr>
              <w:pStyle w:val="Default"/>
              <w:ind w:left="72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activités, sous forme de visites et d'exposés </w:t>
            </w:r>
          </w:p>
          <w:p w:rsidR="00595D36" w:rsidRPr="00595D36" w:rsidRDefault="00595D36" w:rsidP="00595D36">
            <w:pPr>
              <w:pStyle w:val="Default"/>
              <w:numPr>
                <w:ilvl w:val="0"/>
                <w:numId w:val="17"/>
              </w:numPr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Aller à la rencontre des professionnels du tourisme local</w:t>
            </w:r>
          </w:p>
          <w:p w:rsidR="00595D36" w:rsidRPr="00595D36" w:rsidRDefault="00595D36" w:rsidP="00595D36">
            <w:pPr>
              <w:pStyle w:val="Default"/>
              <w:numPr>
                <w:ilvl w:val="0"/>
                <w:numId w:val="17"/>
              </w:numPr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Échanger avec les autres professionnels tels les agences de voyages, les </w:t>
            </w:r>
          </w:p>
          <w:p w:rsidR="00595D36" w:rsidRPr="00595D36" w:rsidRDefault="00595D36" w:rsidP="00595D36">
            <w:pPr>
              <w:pStyle w:val="Default"/>
              <w:ind w:left="720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 xml:space="preserve">journalistes,…. </w:t>
            </w:r>
          </w:p>
          <w:p w:rsidR="00595D36" w:rsidRPr="00595D36" w:rsidRDefault="00595D36" w:rsidP="00595D36">
            <w:pPr>
              <w:pStyle w:val="Default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  <w:r w:rsidRPr="00595D36">
              <w:rPr>
                <w:rFonts w:cs="Times New Roman"/>
                <w:color w:val="auto"/>
                <w:sz w:val="17"/>
                <w:szCs w:val="17"/>
                <w:lang w:val="fr-LU"/>
              </w:rPr>
              <w:t>Il faudra au même moment répondre à ces questions</w:t>
            </w:r>
          </w:p>
          <w:p w:rsidR="00595D36" w:rsidRPr="00595D36" w:rsidRDefault="00595D36" w:rsidP="00595D36">
            <w:pPr>
              <w:pStyle w:val="ListParagraph"/>
              <w:numPr>
                <w:ilvl w:val="0"/>
                <w:numId w:val="19"/>
              </w:numPr>
              <w:spacing w:before="120"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Existe-t-il des supports qui parlent déjà ce territoire? Lesquels?</w:t>
            </w:r>
          </w:p>
          <w:p w:rsidR="00595D36" w:rsidRPr="00595D36" w:rsidRDefault="00595D36" w:rsidP="00595D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Quel type de document faut-il éditer ? En quelles langues ? Ouvert ou non à la publicité, etc.…</w:t>
            </w:r>
          </w:p>
          <w:p w:rsidR="00595D36" w:rsidRPr="00595D36" w:rsidRDefault="00595D36" w:rsidP="00595D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Quelle en sera la diffusion ? Nombre d’exemplaires à déterminer en fonction des lieux et des modes de diffusion : dans les hébergements, les restaurants, les commerçants et prestataires de la zone, auprès des offices de tourisme voisins, etc.…</w:t>
            </w:r>
          </w:p>
          <w:p w:rsidR="008548BA" w:rsidRDefault="00595D36" w:rsidP="00595D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Pour quelle période ce document est-il édité ? la saison estivale, toute l’année, sur deux ans,….</w:t>
            </w:r>
          </w:p>
          <w:p w:rsidR="00595D36" w:rsidRDefault="00595D36" w:rsidP="00595D36">
            <w:pPr>
              <w:pStyle w:val="ListParagraph"/>
              <w:spacing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</w:p>
          <w:p w:rsidR="00595D36" w:rsidRPr="00595D36" w:rsidRDefault="00595D36" w:rsidP="00595D36">
            <w:pPr>
              <w:pStyle w:val="ListParagraph"/>
              <w:spacing w:after="0" w:line="240" w:lineRule="auto"/>
              <w:ind w:right="113"/>
              <w:jc w:val="both"/>
              <w:rPr>
                <w:rFonts w:ascii="Verdana" w:hAnsi="Verdana" w:cs="Times New Roman"/>
                <w:sz w:val="17"/>
                <w:szCs w:val="17"/>
              </w:rPr>
            </w:pPr>
          </w:p>
          <w:p w:rsid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Méthodologie (organisation de la mission): </w:t>
            </w:r>
          </w:p>
          <w:p w:rsidR="00595D36" w:rsidRPr="00595D36" w:rsidRDefault="00595D36" w:rsidP="00595D36">
            <w:pPr>
              <w:pStyle w:val="Default"/>
              <w:spacing w:after="89"/>
              <w:ind w:left="720"/>
              <w:jc w:val="both"/>
              <w:rPr>
                <w:rFonts w:cs="Times New Roman"/>
                <w:color w:val="auto"/>
                <w:sz w:val="17"/>
                <w:szCs w:val="17"/>
                <w:lang w:val="fr-LU"/>
              </w:rPr>
            </w:pPr>
          </w:p>
          <w:p w:rsidR="00595D36" w:rsidRPr="00595D36" w:rsidRDefault="00595D36" w:rsidP="00595D36">
            <w:pPr>
              <w:pStyle w:val="Default"/>
              <w:numPr>
                <w:ilvl w:val="0"/>
                <w:numId w:val="21"/>
              </w:numPr>
              <w:spacing w:after="89"/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</w:pPr>
            <w:r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>Pour la réalisation de l’</w:t>
            </w:r>
            <w:proofErr w:type="spellStart"/>
            <w:r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>eductour</w:t>
            </w:r>
            <w:proofErr w:type="spellEnd"/>
            <w:r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 xml:space="preserve">, il </w:t>
            </w:r>
            <w:proofErr w:type="spellStart"/>
            <w:r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>faura</w:t>
            </w:r>
            <w:proofErr w:type="spellEnd"/>
            <w:r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 xml:space="preserve"> que le consultant </w:t>
            </w:r>
            <w:r w:rsidRPr="00595D36">
              <w:rPr>
                <w:rFonts w:cs="Times New Roman"/>
                <w:b/>
                <w:bCs/>
                <w:color w:val="auto"/>
                <w:sz w:val="17"/>
                <w:szCs w:val="17"/>
                <w:lang w:val="fr-LU"/>
              </w:rPr>
              <w:t>répondra  au planning suivant:</w:t>
            </w:r>
          </w:p>
          <w:tbl>
            <w:tblPr>
              <w:tblpPr w:leftFromText="141" w:rightFromText="141" w:vertAnchor="text" w:tblpY="1"/>
              <w:tblOverlap w:val="never"/>
              <w:tblW w:w="946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64"/>
            </w:tblGrid>
            <w:tr w:rsidR="00595D36" w:rsidRPr="00595D36" w:rsidTr="00FB58EB">
              <w:trPr>
                <w:trHeight w:val="2414"/>
              </w:trPr>
              <w:tc>
                <w:tcPr>
                  <w:tcW w:w="9464" w:type="dxa"/>
                </w:tcPr>
                <w:p w:rsidR="00595D36" w:rsidRPr="00595D36" w:rsidRDefault="00595D36" w:rsidP="00595D36">
                  <w:pPr>
                    <w:pStyle w:val="Default"/>
                    <w:jc w:val="both"/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</w:pPr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>Pour cela il se doit de :</w:t>
                  </w:r>
                </w:p>
                <w:p w:rsidR="00595D36" w:rsidRPr="00595D36" w:rsidRDefault="00595D36" w:rsidP="00595D36">
                  <w:pPr>
                    <w:pStyle w:val="Default"/>
                    <w:jc w:val="both"/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</w:pPr>
                </w:p>
                <w:p w:rsidR="00595D36" w:rsidRPr="00595D36" w:rsidRDefault="00595D36" w:rsidP="00595D36">
                  <w:pPr>
                    <w:pStyle w:val="Default"/>
                    <w:numPr>
                      <w:ilvl w:val="0"/>
                      <w:numId w:val="16"/>
                    </w:numPr>
                    <w:spacing w:after="89"/>
                    <w:jc w:val="both"/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</w:pPr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>Élaborer un programme détaillé, documentation liée au projet, budget et plan d'actions ;</w:t>
                  </w:r>
                </w:p>
                <w:p w:rsidR="00595D36" w:rsidRDefault="00595D36" w:rsidP="00595D36">
                  <w:pPr>
                    <w:pStyle w:val="Default"/>
                    <w:numPr>
                      <w:ilvl w:val="0"/>
                      <w:numId w:val="16"/>
                    </w:numPr>
                    <w:spacing w:after="89"/>
                    <w:jc w:val="both"/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</w:pPr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>Associer les professionnels du tourisme (TO, Ministère, experts, offices de tourisme,…) pour information (et réalisation effective de l'</w:t>
                  </w:r>
                  <w:proofErr w:type="spellStart"/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>Eductour</w:t>
                  </w:r>
                  <w:proofErr w:type="spellEnd"/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 xml:space="preserve"> dans un second temps)</w:t>
                  </w:r>
                </w:p>
                <w:p w:rsidR="00595D36" w:rsidRPr="00595D36" w:rsidRDefault="00595D36" w:rsidP="00595D36">
                  <w:pPr>
                    <w:pStyle w:val="Default"/>
                    <w:spacing w:after="89"/>
                    <w:ind w:left="360"/>
                    <w:jc w:val="both"/>
                    <w:rPr>
                      <w:rFonts w:cs="Times New Roman"/>
                      <w:color w:val="auto"/>
                      <w:sz w:val="17"/>
                      <w:szCs w:val="17"/>
                    </w:rPr>
                  </w:pPr>
                  <w:r>
                    <w:rPr>
                      <w:rFonts w:cs="Times New Roman"/>
                      <w:color w:val="auto"/>
                      <w:sz w:val="17"/>
                      <w:szCs w:val="17"/>
                      <w:lang w:val="fr-LU"/>
                    </w:rPr>
                    <w:t xml:space="preserve">Et : </w:t>
                  </w:r>
                  <w:r w:rsidRPr="00595D36">
                    <w:rPr>
                      <w:rFonts w:cs="Times New Roman"/>
                      <w:color w:val="auto"/>
                      <w:sz w:val="17"/>
                      <w:szCs w:val="17"/>
                    </w:rPr>
                    <w:t>Choix du programme et de la date</w:t>
                  </w:r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Première communication sur l’</w:t>
                  </w:r>
                  <w:proofErr w:type="spellStart"/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eductour</w:t>
                  </w:r>
                  <w:proofErr w:type="spellEnd"/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, invitation officielle</w:t>
                  </w:r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Gestion des inscriptions</w:t>
                  </w:r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Briefing des intervenants</w:t>
                  </w:r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Accueil des participants</w:t>
                  </w:r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Evaluation de l’</w:t>
                  </w:r>
                  <w:proofErr w:type="spellStart"/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eductour</w:t>
                  </w:r>
                  <w:proofErr w:type="spellEnd"/>
                </w:p>
                <w:p w:rsidR="00595D36" w:rsidRP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Remerciements</w:t>
                  </w:r>
                </w:p>
                <w:p w:rsidR="00595D36" w:rsidRDefault="00595D36" w:rsidP="00FB58EB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Elaboration d’une fiche pratique (argumentaire de vente du territoire) sur l’</w:t>
                  </w:r>
                  <w:proofErr w:type="spellStart"/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Eductour</w:t>
                  </w:r>
                  <w:proofErr w:type="spellEnd"/>
                  <w:r w:rsidRPr="00595D36">
                    <w:rPr>
                      <w:rFonts w:ascii="Verdana" w:hAnsi="Verdana" w:cs="Times New Roman"/>
                      <w:sz w:val="17"/>
                      <w:szCs w:val="17"/>
                    </w:rPr>
                    <w:t>)</w:t>
                  </w:r>
                </w:p>
                <w:p w:rsidR="00595D36" w:rsidRPr="00595D36" w:rsidRDefault="00595D36" w:rsidP="00595D36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FF5979" w:rsidRPr="00FF5979" w:rsidRDefault="00FF5979" w:rsidP="00FF59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Pour la réalisation du guide touristique, </w:t>
            </w:r>
            <w:r w:rsidRPr="00FF5979">
              <w:rPr>
                <w:rFonts w:ascii="Verdana" w:hAnsi="Verdana" w:cs="Times New Roman"/>
                <w:sz w:val="17"/>
                <w:szCs w:val="17"/>
              </w:rPr>
              <w:t>Il faudra au même moment répondre à ces questions</w:t>
            </w:r>
          </w:p>
          <w:p w:rsidR="00FF5979" w:rsidRPr="00FF5979" w:rsidRDefault="00FF5979" w:rsidP="00FF5979">
            <w:pPr>
              <w:pStyle w:val="ListParagraph"/>
              <w:spacing w:after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</w:pPr>
          </w:p>
          <w:p w:rsidR="00FF5979" w:rsidRPr="00FF5979" w:rsidRDefault="00FF5979" w:rsidP="00FF597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sz w:val="17"/>
                <w:szCs w:val="17"/>
              </w:rPr>
            </w:pPr>
            <w:r w:rsidRPr="00FF5979">
              <w:rPr>
                <w:rFonts w:ascii="Verdana" w:hAnsi="Verdana" w:cs="Times New Roman"/>
                <w:sz w:val="17"/>
                <w:szCs w:val="17"/>
              </w:rPr>
              <w:t>Existe-t-il des supports qui parlent déjà ce territoire? Lesquels?</w:t>
            </w:r>
          </w:p>
          <w:p w:rsidR="00FF5979" w:rsidRPr="00FF5979" w:rsidRDefault="00FF5979" w:rsidP="00FF597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sz w:val="17"/>
                <w:szCs w:val="17"/>
              </w:rPr>
            </w:pPr>
            <w:r w:rsidRPr="00FF5979">
              <w:rPr>
                <w:rFonts w:ascii="Verdana" w:hAnsi="Verdana" w:cs="Times New Roman"/>
                <w:sz w:val="17"/>
                <w:szCs w:val="17"/>
              </w:rPr>
              <w:t>Quel type de document faut-il éditer ? En quelles langues ? Ouvert ou non à la publicité, etc.…</w:t>
            </w:r>
          </w:p>
          <w:p w:rsidR="00FF5979" w:rsidRPr="00595D36" w:rsidRDefault="00FF5979" w:rsidP="00FF597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Quelle en sera la diffusion ? Nombre d’exemplaires à déterminer en fonction des lieux et des modes de diffusion : dans les hébergements, les restaurants, les commerçants et prestataires de la zone, auprès des offices de tourisme voisins, etc.…</w:t>
            </w:r>
          </w:p>
          <w:p w:rsidR="00FF5979" w:rsidRDefault="00FF5979" w:rsidP="00FF597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  <w:r w:rsidRPr="00595D36">
              <w:rPr>
                <w:rFonts w:ascii="Verdana" w:hAnsi="Verdana" w:cs="Times New Roman"/>
                <w:sz w:val="17"/>
                <w:szCs w:val="17"/>
              </w:rPr>
              <w:t>Pour quelle période ce document est-il édité ? la saison estivale, toute l’année, sur deux ans,….</w:t>
            </w:r>
          </w:p>
          <w:p w:rsidR="00595D36" w:rsidRPr="00FF5979" w:rsidRDefault="00595D36" w:rsidP="00FF597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7"/>
                <w:szCs w:val="17"/>
              </w:rPr>
            </w:pPr>
          </w:p>
          <w:p w:rsidR="00595D36" w:rsidRDefault="00595D36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</w:pPr>
          </w:p>
          <w:p w:rsidR="00FF5979" w:rsidRDefault="00FF5979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</w:pPr>
          </w:p>
          <w:p w:rsidR="00595D36" w:rsidRPr="008548BA" w:rsidRDefault="00595D36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lastRenderedPageBreak/>
              <w:t>Livrables: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  <w:p w:rsidR="00FF5979" w:rsidRDefault="00FF5979" w:rsidP="00FF597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Un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éductour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sur la région</w:t>
            </w:r>
          </w:p>
          <w:p w:rsidR="00FF5979" w:rsidRDefault="00FF5979" w:rsidP="00FF597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Guide touristique </w:t>
            </w:r>
          </w:p>
          <w:p w:rsidR="00FF5979" w:rsidRPr="00FF5979" w:rsidRDefault="00FF5979" w:rsidP="00FF597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Durée de la mission :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La mission est estimée à </w:t>
            </w: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40 jours ouvrés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en Algérie allant du </w:t>
            </w:r>
            <w:r w:rsidRPr="00FF59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24 février au 19 avril 2013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et est découpée en 2 phases. Les temps d’intervention se répartissent comme suit en jours calendaires :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pBdr>
                <w:bottom w:val="dotted" w:sz="6" w:space="2" w:color="666666"/>
              </w:pBdr>
              <w:spacing w:before="75" w:beforeAutospacing="0" w:after="45" w:afterAutospacing="0" w:line="312" w:lineRule="auto"/>
              <w:outlineLvl w:val="2"/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</w:pP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lastRenderedPageBreak/>
              <w:t>Competencies</w:t>
            </w:r>
            <w:proofErr w:type="spellEnd"/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157C88" w:rsidRPr="00157C88" w:rsidRDefault="00157C88" w:rsidP="00157C88">
            <w:pPr>
              <w:numPr>
                <w:ilvl w:val="0"/>
                <w:numId w:val="24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Disposer d’une expérience professionnelle d’au moins </w:t>
            </w: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highlight w:val="yellow"/>
                <w:lang w:eastAsia="fr-FR"/>
              </w:rPr>
              <w:t>15</w:t>
            </w: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ans dans le domaine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du tourisme, communication</w:t>
            </w: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; </w:t>
            </w:r>
          </w:p>
          <w:p w:rsidR="00157C88" w:rsidRPr="00157C88" w:rsidRDefault="00157C88" w:rsidP="00847BE2">
            <w:pPr>
              <w:numPr>
                <w:ilvl w:val="0"/>
                <w:numId w:val="24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Avoir une bonne connaissance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avérée </w:t>
            </w:r>
            <w:r w:rsidR="00847BE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sur la région du sud algérien et p</w:t>
            </w:r>
            <w:r w:rsidR="003D1FAC">
              <w:rPr>
                <w:rFonts w:ascii="Verdana" w:hAnsi="Verdana"/>
                <w:color w:val="333333"/>
                <w:sz w:val="17"/>
                <w:szCs w:val="17"/>
              </w:rPr>
              <w:t xml:space="preserve">osséder des aptitudes à communiquer et à travailler dans un environnement </w:t>
            </w:r>
            <w:r w:rsidR="00847BE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multiculturel</w:t>
            </w: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; </w:t>
            </w:r>
          </w:p>
          <w:p w:rsidR="00157C88" w:rsidRDefault="00157C88" w:rsidP="00157C88">
            <w:pPr>
              <w:numPr>
                <w:ilvl w:val="0"/>
                <w:numId w:val="24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Avoir une certaine connaissance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éprouvée dans la réalisation de guide touristique ou sur la thématique </w:t>
            </w: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 </w:t>
            </w:r>
          </w:p>
          <w:p w:rsidR="00847BE2" w:rsidRDefault="00847BE2" w:rsidP="00157C88">
            <w:pPr>
              <w:numPr>
                <w:ilvl w:val="0"/>
                <w:numId w:val="24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Apte à faire des tournées dans le sud pour la production de l’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éductour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et du guide touristique</w:t>
            </w:r>
          </w:p>
          <w:p w:rsidR="008548BA" w:rsidRPr="008548BA" w:rsidRDefault="008548BA" w:rsidP="008548BA">
            <w:pPr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Etre en mesure de respecter les délais. </w:t>
            </w:r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pBdr>
                <w:bottom w:val="dotted" w:sz="6" w:space="2" w:color="666666"/>
              </w:pBdr>
              <w:spacing w:before="75" w:beforeAutospacing="0" w:after="45" w:afterAutospacing="0" w:line="312" w:lineRule="auto"/>
              <w:outlineLvl w:val="2"/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</w:pP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Required</w:t>
            </w:r>
            <w:proofErr w:type="spellEnd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Skills</w:t>
            </w:r>
            <w:proofErr w:type="spellEnd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 xml:space="preserve"> and </w:t>
            </w:r>
            <w:proofErr w:type="spellStart"/>
            <w:r w:rsidRPr="008548BA">
              <w:rPr>
                <w:rFonts w:ascii="Trebuchet MS" w:eastAsia="Times New Roman" w:hAnsi="Trebuchet MS" w:cs="Times New Roman"/>
                <w:color w:val="003399"/>
                <w:sz w:val="26"/>
                <w:szCs w:val="26"/>
                <w:lang w:eastAsia="fr-FR"/>
              </w:rPr>
              <w:t>Experience</w:t>
            </w:r>
            <w:proofErr w:type="spellEnd"/>
          </w:p>
        </w:tc>
      </w:tr>
      <w:tr w:rsidR="008548BA" w:rsidRPr="008548BA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Education:</w:t>
            </w:r>
          </w:p>
          <w:p w:rsidR="008548BA" w:rsidRPr="008548BA" w:rsidRDefault="008548BA" w:rsidP="00157C88">
            <w:pPr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Le consultant national</w:t>
            </w:r>
            <w:r w:rsid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devra être titulaire d’un diplôme </w:t>
            </w:r>
            <w:r w:rsid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en communication, sociologue ou expert en tourisme ayant une expérience depuis 10 ans d’activités dans le champ de la préoccupation exprimée.</w:t>
            </w:r>
          </w:p>
          <w:p w:rsidR="008548BA" w:rsidRPr="008548BA" w:rsidRDefault="008548BA" w:rsidP="003D1FAC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Expérience: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br/>
            </w:r>
          </w:p>
          <w:p w:rsidR="003D1FAC" w:rsidRDefault="003D1FAC" w:rsidP="003D1FAC">
            <w:pPr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Une expérience professionnelle d’au moins 15 ans</w:t>
            </w:r>
          </w:p>
          <w:p w:rsidR="00157C88" w:rsidRDefault="00157C88" w:rsidP="003D1FAC">
            <w:pPr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157C8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Disposer d’une expérience professionnelle d’au moins 10 ans dans le domaine </w:t>
            </w:r>
            <w:r w:rsidR="003D1FA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du tourisme</w:t>
            </w:r>
          </w:p>
          <w:p w:rsidR="003D1FAC" w:rsidRPr="00157C88" w:rsidRDefault="003D1FAC" w:rsidP="003D1FAC">
            <w:pPr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Langues: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</w:p>
          <w:p w:rsidR="008548BA" w:rsidRPr="008548BA" w:rsidRDefault="003D1FAC" w:rsidP="008548BA">
            <w:pPr>
              <w:numPr>
                <w:ilvl w:val="0"/>
                <w:numId w:val="10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Français et Arabe</w:t>
            </w:r>
            <w:r w:rsidR="008548BA"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.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3D1FA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fr-FR"/>
              </w:rPr>
              <w:t>Procédure d’évaluation des Offres: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La sélection des candidats se fait selon les procédures de recrutement en vigueur au PNUD et sur base des compétences requises.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Les offres soumises, remplissant les conditions d’éligibilité, seront évaluées sur base d’une grille combinant une évaluation technique et financière de l’offre.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Ci-dessous les critères d’évaluation des offres :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Technique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Approche méthodologique : 20 points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Expérience utile dans le secteur évalué : 20 points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Nombre</w:t>
            </w:r>
            <w:r w:rsidR="003D1FA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d’années</w:t>
            </w:r>
            <w:r w:rsidR="003D1FA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d’expérience: 20 points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Connaissance</w:t>
            </w:r>
            <w:r w:rsidR="003D1FA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de la thématique: 10 points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Financière</w:t>
            </w: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30 points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Les offres ayant obtenu un score minimum de 70% lors de l’évaluation technique, soit 49 points, seront prises en considération pour l’évaluation financière. Le critère pris en compte pour l’évaluation financière sera celui de l’offre la moins </w:t>
            </w: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disante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.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Les propositions seront ensuite classées en fonction de la note totale pondérée.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Soumission de l’offre: </w:t>
            </w:r>
          </w:p>
          <w:p w:rsidR="008548BA" w:rsidRPr="008548BA" w:rsidRDefault="008548BA" w:rsidP="008548BA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Votre offre devra comporter les documents suivants : </w:t>
            </w:r>
          </w:p>
          <w:p w:rsidR="008548BA" w:rsidRPr="008548BA" w:rsidRDefault="008548BA" w:rsidP="008548BA">
            <w:pPr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lastRenderedPageBreak/>
              <w:t xml:space="preserve">CV du consultant ; </w:t>
            </w:r>
          </w:p>
          <w:p w:rsidR="008548BA" w:rsidRPr="008548BA" w:rsidRDefault="008548BA" w:rsidP="008548BA">
            <w:pPr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Note explicative sur la compréhension des </w:t>
            </w:r>
            <w:proofErr w:type="spellStart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>TdRs</w:t>
            </w:r>
            <w:proofErr w:type="spellEnd"/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 et sur l’approche méthodologique suggérée; </w:t>
            </w:r>
          </w:p>
          <w:p w:rsidR="008548BA" w:rsidRPr="008548BA" w:rsidRDefault="008548BA" w:rsidP="008548BA">
            <w:pPr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Proposition financière (précision des modalités de paiement) </w:t>
            </w:r>
          </w:p>
          <w:p w:rsidR="008548BA" w:rsidRPr="008548BA" w:rsidRDefault="008548BA" w:rsidP="003D1FAC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</w:pPr>
            <w:r w:rsidRPr="008548B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fr-FR"/>
              </w:rPr>
              <w:t xml:space="preserve">Les offres soumises en réponse à la présente invitation devront porter la mention </w:t>
            </w:r>
            <w:r w:rsidRPr="008548BA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 xml:space="preserve">« </w:t>
            </w:r>
            <w:r w:rsidR="003D1FA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fr-FR"/>
              </w:rPr>
              <w:t>les routes des ksour : appui au développement local intégré »</w:t>
            </w:r>
          </w:p>
        </w:tc>
      </w:tr>
    </w:tbl>
    <w:p w:rsidR="00AB4623" w:rsidRDefault="00AB4623"/>
    <w:sectPr w:rsidR="00AB4623" w:rsidSect="00AB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3" type="#_x0000_t75" style="width:3in;height:3in" o:bullet="t"/>
    </w:pict>
  </w:numPicBullet>
  <w:numPicBullet w:numPicBulletId="1">
    <w:pict>
      <v:shape id="_x0000_i1854" type="#_x0000_t75" style="width:3in;height:3in" o:bullet="t"/>
    </w:pict>
  </w:numPicBullet>
  <w:numPicBullet w:numPicBulletId="2">
    <w:pict>
      <v:shape id="_x0000_i1855" type="#_x0000_t75" style="width:3in;height:3in" o:bullet="t"/>
    </w:pict>
  </w:numPicBullet>
  <w:numPicBullet w:numPicBulletId="3">
    <w:pict>
      <v:shape id="_x0000_i1856" type="#_x0000_t75" style="width:3in;height:3in" o:bullet="t"/>
    </w:pict>
  </w:numPicBullet>
  <w:numPicBullet w:numPicBulletId="4">
    <w:pict>
      <v:shape id="_x0000_i1857" type="#_x0000_t75" style="width:3in;height:3in" o:bullet="t"/>
    </w:pict>
  </w:numPicBullet>
  <w:numPicBullet w:numPicBulletId="5">
    <w:pict>
      <v:shape id="_x0000_i1858" type="#_x0000_t75" style="width:3in;height:3in" o:bullet="t"/>
    </w:pict>
  </w:numPicBullet>
  <w:numPicBullet w:numPicBulletId="6">
    <w:pict>
      <v:shape id="_x0000_i1859" type="#_x0000_t75" style="width:3in;height:3in" o:bullet="t"/>
    </w:pict>
  </w:numPicBullet>
  <w:numPicBullet w:numPicBulletId="7">
    <w:pict>
      <v:shape id="_x0000_i1860" type="#_x0000_t75" style="width:3in;height:3in" o:bullet="t"/>
    </w:pict>
  </w:numPicBullet>
  <w:numPicBullet w:numPicBulletId="8">
    <w:pict>
      <v:shape id="_x0000_i1861" type="#_x0000_t75" style="width:3in;height:3in" o:bullet="t"/>
    </w:pict>
  </w:numPicBullet>
  <w:numPicBullet w:numPicBulletId="9">
    <w:pict>
      <v:shape id="_x0000_i1862" type="#_x0000_t75" style="width:3in;height:3in" o:bullet="t"/>
    </w:pict>
  </w:numPicBullet>
  <w:numPicBullet w:numPicBulletId="10">
    <w:pict>
      <v:shape id="_x0000_i1863" type="#_x0000_t75" style="width:3in;height:3in" o:bullet="t"/>
    </w:pict>
  </w:numPicBullet>
  <w:numPicBullet w:numPicBulletId="11">
    <w:pict>
      <v:shape id="_x0000_i1864" type="#_x0000_t75" style="width:3in;height:3in" o:bullet="t"/>
    </w:pict>
  </w:numPicBullet>
  <w:numPicBullet w:numPicBulletId="12">
    <w:pict>
      <v:shape id="_x0000_i1865" type="#_x0000_t75" style="width:3in;height:3in" o:bullet="t"/>
    </w:pict>
  </w:numPicBullet>
  <w:numPicBullet w:numPicBulletId="13">
    <w:pict>
      <v:shape id="_x0000_i1866" type="#_x0000_t75" style="width:3in;height:3in" o:bullet="t"/>
    </w:pict>
  </w:numPicBullet>
  <w:numPicBullet w:numPicBulletId="14">
    <w:pict>
      <v:shape id="_x0000_i1867" type="#_x0000_t75" style="width:3in;height:3in" o:bullet="t"/>
    </w:pict>
  </w:numPicBullet>
  <w:numPicBullet w:numPicBulletId="15">
    <w:pict>
      <v:shape id="_x0000_i1868" type="#_x0000_t75" style="width:3in;height:3in" o:bullet="t"/>
    </w:pict>
  </w:numPicBullet>
  <w:numPicBullet w:numPicBulletId="16">
    <w:pict>
      <v:shape id="_x0000_i1869" type="#_x0000_t75" style="width:3in;height:3in" o:bullet="t"/>
    </w:pict>
  </w:numPicBullet>
  <w:numPicBullet w:numPicBulletId="17">
    <w:pict>
      <v:shape id="_x0000_i1870" type="#_x0000_t75" style="width:3in;height:3in" o:bullet="t"/>
    </w:pict>
  </w:numPicBullet>
  <w:numPicBullet w:numPicBulletId="18">
    <w:pict>
      <v:shape id="_x0000_i1871" type="#_x0000_t75" style="width:3in;height:3in" o:bullet="t"/>
    </w:pict>
  </w:numPicBullet>
  <w:numPicBullet w:numPicBulletId="19">
    <w:pict>
      <v:shape id="_x0000_i1872" type="#_x0000_t75" style="width:3in;height:3in" o:bullet="t"/>
    </w:pict>
  </w:numPicBullet>
  <w:numPicBullet w:numPicBulletId="20">
    <w:pict>
      <v:shape id="_x0000_i1873" type="#_x0000_t75" style="width:3in;height:3in" o:bullet="t"/>
    </w:pict>
  </w:numPicBullet>
  <w:numPicBullet w:numPicBulletId="21">
    <w:pict>
      <v:shape id="_x0000_i1874" type="#_x0000_t75" style="width:3in;height:3in" o:bullet="t"/>
    </w:pict>
  </w:numPicBullet>
  <w:numPicBullet w:numPicBulletId="22">
    <w:pict>
      <v:shape id="_x0000_i1875" type="#_x0000_t75" style="width:3in;height:3in" o:bullet="t"/>
    </w:pict>
  </w:numPicBullet>
  <w:numPicBullet w:numPicBulletId="23">
    <w:pict>
      <v:shape id="_x0000_i1876" type="#_x0000_t75" style="width:3in;height:3in" o:bullet="t"/>
    </w:pict>
  </w:numPicBullet>
  <w:numPicBullet w:numPicBulletId="24">
    <w:pict>
      <v:shape id="_x0000_i1877" type="#_x0000_t75" style="width:3in;height:3in" o:bullet="t"/>
    </w:pict>
  </w:numPicBullet>
  <w:numPicBullet w:numPicBulletId="25">
    <w:pict>
      <v:shape id="_x0000_i1878" type="#_x0000_t75" style="width:3in;height:3in" o:bullet="t"/>
    </w:pict>
  </w:numPicBullet>
  <w:abstractNum w:abstractNumId="0">
    <w:nsid w:val="116628AD"/>
    <w:multiLevelType w:val="multilevel"/>
    <w:tmpl w:val="69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C236E"/>
    <w:multiLevelType w:val="hybridMultilevel"/>
    <w:tmpl w:val="6B3C6E68"/>
    <w:lvl w:ilvl="0" w:tplc="2D3CB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5EA6"/>
    <w:multiLevelType w:val="hybridMultilevel"/>
    <w:tmpl w:val="64CC7C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07CD1"/>
    <w:multiLevelType w:val="hybridMultilevel"/>
    <w:tmpl w:val="B8924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2ECA"/>
    <w:multiLevelType w:val="multilevel"/>
    <w:tmpl w:val="7E5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E052B"/>
    <w:multiLevelType w:val="multilevel"/>
    <w:tmpl w:val="C0A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A4F1F"/>
    <w:multiLevelType w:val="hybridMultilevel"/>
    <w:tmpl w:val="C9D8FE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7DEA"/>
    <w:multiLevelType w:val="multilevel"/>
    <w:tmpl w:val="802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10187"/>
    <w:multiLevelType w:val="multilevel"/>
    <w:tmpl w:val="B05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974E1"/>
    <w:multiLevelType w:val="hybridMultilevel"/>
    <w:tmpl w:val="3A9AB20C"/>
    <w:lvl w:ilvl="0" w:tplc="EB0E0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52C4"/>
    <w:multiLevelType w:val="hybridMultilevel"/>
    <w:tmpl w:val="BE42A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85DDF"/>
    <w:multiLevelType w:val="multilevel"/>
    <w:tmpl w:val="0482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F1006"/>
    <w:multiLevelType w:val="multilevel"/>
    <w:tmpl w:val="ED5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70BFE"/>
    <w:multiLevelType w:val="multilevel"/>
    <w:tmpl w:val="9A1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85AEC"/>
    <w:multiLevelType w:val="multilevel"/>
    <w:tmpl w:val="C4A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D6DF7"/>
    <w:multiLevelType w:val="multilevel"/>
    <w:tmpl w:val="DBB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F2C74"/>
    <w:multiLevelType w:val="hybridMultilevel"/>
    <w:tmpl w:val="282EDDCE"/>
    <w:lvl w:ilvl="0" w:tplc="8C367D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E71AF"/>
    <w:multiLevelType w:val="multilevel"/>
    <w:tmpl w:val="2690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5905DF"/>
    <w:multiLevelType w:val="hybridMultilevel"/>
    <w:tmpl w:val="4EA0A3AA"/>
    <w:lvl w:ilvl="0" w:tplc="3B940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A6025"/>
    <w:multiLevelType w:val="hybridMultilevel"/>
    <w:tmpl w:val="150E2F7A"/>
    <w:lvl w:ilvl="0" w:tplc="3B940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048E2"/>
    <w:multiLevelType w:val="hybridMultilevel"/>
    <w:tmpl w:val="710441D6"/>
    <w:lvl w:ilvl="0" w:tplc="9D5C6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E4F1F"/>
    <w:multiLevelType w:val="hybridMultilevel"/>
    <w:tmpl w:val="AE1030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368EE"/>
    <w:multiLevelType w:val="multilevel"/>
    <w:tmpl w:val="863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B05DD9"/>
    <w:multiLevelType w:val="hybridMultilevel"/>
    <w:tmpl w:val="56C8A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36B82"/>
    <w:multiLevelType w:val="multilevel"/>
    <w:tmpl w:val="6DB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17"/>
  </w:num>
  <w:num w:numId="9">
    <w:abstractNumId w:val="7"/>
  </w:num>
  <w:num w:numId="10">
    <w:abstractNumId w:val="8"/>
  </w:num>
  <w:num w:numId="11">
    <w:abstractNumId w:val="22"/>
  </w:num>
  <w:num w:numId="12">
    <w:abstractNumId w:val="18"/>
  </w:num>
  <w:num w:numId="13">
    <w:abstractNumId w:val="19"/>
  </w:num>
  <w:num w:numId="14">
    <w:abstractNumId w:val="2"/>
  </w:num>
  <w:num w:numId="15">
    <w:abstractNumId w:val="16"/>
  </w:num>
  <w:num w:numId="16">
    <w:abstractNumId w:val="10"/>
  </w:num>
  <w:num w:numId="17">
    <w:abstractNumId w:val="21"/>
  </w:num>
  <w:num w:numId="18">
    <w:abstractNumId w:val="3"/>
  </w:num>
  <w:num w:numId="19">
    <w:abstractNumId w:val="23"/>
  </w:num>
  <w:num w:numId="20">
    <w:abstractNumId w:val="20"/>
  </w:num>
  <w:num w:numId="21">
    <w:abstractNumId w:val="9"/>
  </w:num>
  <w:num w:numId="22">
    <w:abstractNumId w:val="6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8BA"/>
    <w:rsid w:val="00072CE8"/>
    <w:rsid w:val="00157C88"/>
    <w:rsid w:val="001862A8"/>
    <w:rsid w:val="003D1FAC"/>
    <w:rsid w:val="00595D36"/>
    <w:rsid w:val="006D51A8"/>
    <w:rsid w:val="00847BE2"/>
    <w:rsid w:val="008548BA"/>
    <w:rsid w:val="009E2FFF"/>
    <w:rsid w:val="00AB4623"/>
    <w:rsid w:val="00AE725D"/>
    <w:rsid w:val="00BC4C84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23"/>
  </w:style>
  <w:style w:type="paragraph" w:styleId="Heading3">
    <w:name w:val="heading 3"/>
    <w:basedOn w:val="Normal"/>
    <w:link w:val="Heading3Char"/>
    <w:uiPriority w:val="9"/>
    <w:qFormat/>
    <w:rsid w:val="008548BA"/>
    <w:pPr>
      <w:pBdr>
        <w:bottom w:val="dotted" w:sz="6" w:space="2" w:color="666666"/>
      </w:pBdr>
      <w:spacing w:before="75" w:beforeAutospacing="0" w:after="45" w:afterAutospacing="0" w:line="312" w:lineRule="auto"/>
      <w:outlineLvl w:val="2"/>
    </w:pPr>
    <w:rPr>
      <w:rFonts w:ascii="Trebuchet MS" w:eastAsia="Times New Roman" w:hAnsi="Trebuchet MS" w:cs="Times New Roman"/>
      <w:color w:val="003399"/>
      <w:sz w:val="26"/>
      <w:szCs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48BA"/>
    <w:rPr>
      <w:rFonts w:ascii="Trebuchet MS" w:eastAsia="Times New Roman" w:hAnsi="Trebuchet MS" w:cs="Times New Roman"/>
      <w:color w:val="003399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8548BA"/>
    <w:rPr>
      <w:strike w:val="0"/>
      <w:dstrike w:val="0"/>
      <w:color w:val="3366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548BA"/>
    <w:rPr>
      <w:b/>
      <w:bCs/>
    </w:rPr>
  </w:style>
  <w:style w:type="character" w:styleId="Emphasis">
    <w:name w:val="Emphasis"/>
    <w:basedOn w:val="DefaultParagraphFont"/>
    <w:uiPriority w:val="20"/>
    <w:qFormat/>
    <w:rsid w:val="008548BA"/>
    <w:rPr>
      <w:i/>
      <w:iCs/>
    </w:rPr>
  </w:style>
  <w:style w:type="paragraph" w:customStyle="1" w:styleId="Default">
    <w:name w:val="Default"/>
    <w:rsid w:val="008548BA"/>
    <w:pPr>
      <w:autoSpaceDE w:val="0"/>
      <w:autoSpaceDN w:val="0"/>
      <w:adjustRightInd w:val="0"/>
      <w:spacing w:before="0" w:beforeAutospacing="0" w:after="0" w:afterAutospacing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8BA"/>
    <w:pPr>
      <w:spacing w:before="0" w:beforeAutospacing="0" w:after="200" w:afterAutospacing="0" w:line="276" w:lineRule="auto"/>
      <w:ind w:left="720"/>
      <w:contextualSpacing/>
    </w:pPr>
    <w:rPr>
      <w:sz w:val="24"/>
      <w:lang w:val="fr-L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undp.org/cj_apply.cfm?cur_job_id=3505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jobs.undp.org/cj_refer.cfm?cur_job_id=3505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2014-06-26T13:00:00+00:00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1330</Value>
      <Value>233</Value>
      <Value>1107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00041493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DZA</TermName>
          <TermId xmlns="http://schemas.microsoft.com/office/infopath/2007/PartnerControls">e112f64e-36cf-45b4-8da8-4447c6673429</TermId>
        </TermInfo>
      </Terms>
    </gc6531b704974d528487414686b72f6f>
    <_dlc_DocId xmlns="f1161f5b-24a3-4c2d-bc81-44cb9325e8ee">ATLASPDC-4-19107</_dlc_DocId>
    <_dlc_DocIdUrl xmlns="f1161f5b-24a3-4c2d-bc81-44cb9325e8ee">
      <Url>https://info.undp.org/docs/pdc/_layouts/DocIdRedir.aspx?ID=ATLASPDC-4-19107</Url>
      <Description>ATLASPDC-4-19107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BAE2413-1BE2-4A7B-AD5E-58E7218C9B5E}"/>
</file>

<file path=customXml/itemProps2.xml><?xml version="1.0" encoding="utf-8"?>
<ds:datastoreItem xmlns:ds="http://schemas.openxmlformats.org/officeDocument/2006/customXml" ds:itemID="{163249BC-4535-400A-A685-807328E196B0}"/>
</file>

<file path=customXml/itemProps3.xml><?xml version="1.0" encoding="utf-8"?>
<ds:datastoreItem xmlns:ds="http://schemas.openxmlformats.org/officeDocument/2006/customXml" ds:itemID="{873C16AA-A5A8-4C2C-877D-9964F4F7D466}"/>
</file>

<file path=customXml/itemProps4.xml><?xml version="1.0" encoding="utf-8"?>
<ds:datastoreItem xmlns:ds="http://schemas.openxmlformats.org/officeDocument/2006/customXml" ds:itemID="{CFA90F20-B9B9-498F-9505-F5F472FB67C4}"/>
</file>

<file path=customXml/itemProps5.xml><?xml version="1.0" encoding="utf-8"?>
<ds:datastoreItem xmlns:ds="http://schemas.openxmlformats.org/officeDocument/2006/customXml" ds:itemID="{770B60E7-A917-4312-9162-EA3C08DA6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Osmani</dc:creator>
  <cp:lastModifiedBy>Karima Osmani</cp:lastModifiedBy>
  <cp:revision>1</cp:revision>
  <cp:lastPrinted>2013-01-21T10:43:00Z</cp:lastPrinted>
  <dcterms:created xsi:type="dcterms:W3CDTF">2013-01-21T08:13:00Z</dcterms:created>
  <dcterms:modified xsi:type="dcterms:W3CDTF">2013-01-21T10:47:00Z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2f52f952-6f28-4eb3-8e6a-7dd7645d915d</vt:lpwstr>
  </property>
  <property fmtid="{D5CDD505-2E9C-101B-9397-08002B2CF9AE}" pid="4" name="UNDPCountry">
    <vt:lpwstr/>
  </property>
  <property fmtid="{D5CDD505-2E9C-101B-9397-08002B2CF9AE}" pid="5" name="Atlas_x0020_Document_x0020_Type">
    <vt:lpwstr>235;#Other|31c9cb5b-e3a5-4ce8-95bd-eda20410466c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233;#French|946783f8-cd0b-41e2-848e-7777f631248e</vt:lpwstr>
  </property>
  <property fmtid="{D5CDD505-2E9C-101B-9397-08002B2CF9AE}" pid="10" name="Operating Unit0">
    <vt:lpwstr>1330;#DZA|e112f64e-36cf-45b4-8da8-4447c6673429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1107;#Other|10be685e-4bef-4aec-b905-4df3748c0781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